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B9" w:rsidRPr="008D520D" w:rsidRDefault="002F45B9" w:rsidP="002F45B9">
      <w:pPr>
        <w:jc w:val="center"/>
        <w:rPr>
          <w:b/>
          <w:smallCaps/>
          <w:color w:val="E36C0A" w:themeColor="accent6" w:themeShade="BF"/>
          <w:sz w:val="40"/>
          <w:szCs w:val="40"/>
        </w:rPr>
      </w:pPr>
      <w:bookmarkStart w:id="0" w:name="_GoBack"/>
      <w:bookmarkEnd w:id="0"/>
      <w:r>
        <w:rPr>
          <w:b/>
          <w:smallCaps/>
          <w:color w:val="E36C0A" w:themeColor="accent6" w:themeShade="BF"/>
          <w:sz w:val="48"/>
          <w:szCs w:val="48"/>
        </w:rPr>
        <w:t>THE SENTENCE STARTER</w:t>
      </w:r>
    </w:p>
    <w:p w:rsidR="002F45B9" w:rsidRPr="009C657F" w:rsidRDefault="002F45B9" w:rsidP="00447D6D">
      <w:pPr>
        <w:jc w:val="center"/>
        <w:rPr>
          <w:b/>
          <w:i/>
          <w:smallCaps/>
          <w:color w:val="E36C0A" w:themeColor="accent6" w:themeShade="BF"/>
          <w:sz w:val="28"/>
          <w:szCs w:val="28"/>
        </w:rPr>
      </w:pPr>
      <w:r w:rsidRPr="002F45B9">
        <w:rPr>
          <w:b/>
          <w:i/>
          <w:smallCaps/>
          <w:color w:val="E36C0A" w:themeColor="accent6" w:themeShade="BF"/>
          <w:sz w:val="28"/>
          <w:szCs w:val="28"/>
        </w:rPr>
        <w:t xml:space="preserve">A </w:t>
      </w:r>
      <w:r w:rsidR="008656DA" w:rsidRPr="002F45B9">
        <w:rPr>
          <w:b/>
          <w:i/>
          <w:smallCaps/>
          <w:color w:val="E36C0A" w:themeColor="accent6" w:themeShade="BF"/>
          <w:sz w:val="28"/>
          <w:szCs w:val="28"/>
        </w:rPr>
        <w:t xml:space="preserve">PROMPT TO </w:t>
      </w:r>
      <w:r w:rsidR="000A28C3" w:rsidRPr="002F45B9">
        <w:rPr>
          <w:b/>
          <w:i/>
          <w:smallCaps/>
          <w:color w:val="E36C0A" w:themeColor="accent6" w:themeShade="BF"/>
          <w:sz w:val="28"/>
          <w:szCs w:val="28"/>
        </w:rPr>
        <w:t xml:space="preserve">HELP YOUR STUDENTS CRAFT </w:t>
      </w:r>
      <w:r w:rsidR="008656DA" w:rsidRPr="009C657F">
        <w:rPr>
          <w:b/>
          <w:i/>
          <w:smallCaps/>
          <w:color w:val="E36C0A" w:themeColor="accent6" w:themeShade="BF"/>
          <w:sz w:val="28"/>
          <w:szCs w:val="28"/>
        </w:rPr>
        <w:t>ARTFUL SENTENCES</w:t>
      </w:r>
      <w:r w:rsidRPr="009C657F">
        <w:rPr>
          <w:b/>
          <w:i/>
          <w:smallCaps/>
          <w:color w:val="E36C0A" w:themeColor="accent6" w:themeShade="BF"/>
          <w:sz w:val="28"/>
          <w:szCs w:val="28"/>
        </w:rPr>
        <w:t xml:space="preserve"> </w:t>
      </w:r>
    </w:p>
    <w:p w:rsidR="00713D6F" w:rsidRDefault="002F45B9">
      <w:r w:rsidRPr="002F45B9">
        <w:t>The</w:t>
      </w:r>
      <w:r w:rsidR="0093785B" w:rsidRPr="002F45B9">
        <w:t xml:space="preserve"> </w:t>
      </w:r>
      <w:r w:rsidR="0093785B" w:rsidRPr="002F45B9">
        <w:rPr>
          <w:b/>
        </w:rPr>
        <w:t>Art of the Sentence (AOS)</w:t>
      </w:r>
      <w:r w:rsidRPr="002F45B9">
        <w:rPr>
          <w:b/>
        </w:rPr>
        <w:t xml:space="preserve"> technique</w:t>
      </w:r>
      <w:r w:rsidRPr="002F45B9">
        <w:t xml:space="preserve"> asks</w:t>
      </w:r>
      <w:r w:rsidRPr="002F45B9">
        <w:rPr>
          <w:b/>
        </w:rPr>
        <w:t xml:space="preserve"> </w:t>
      </w:r>
      <w:r w:rsidR="0093785B" w:rsidRPr="0093785B">
        <w:t>students to synthesize a complex idea in a single, well-</w:t>
      </w:r>
      <w:r w:rsidR="00447D6D">
        <w:t>crafted sentence. Having</w:t>
      </w:r>
      <w:r w:rsidR="0093785B" w:rsidRPr="0093785B">
        <w:t xml:space="preserve"> one sentence do all the work pushes students to use ne</w:t>
      </w:r>
      <w:r w:rsidR="00447D6D">
        <w:t>w grammatical forms, structure</w:t>
      </w:r>
      <w:r w:rsidR="0093785B" w:rsidRPr="0093785B">
        <w:t xml:space="preserve"> their sentences in new ways</w:t>
      </w:r>
      <w:r w:rsidR="00447D6D">
        <w:t>, and diversify</w:t>
      </w:r>
      <w:r w:rsidR="0093785B" w:rsidRPr="0093785B">
        <w:t xml:space="preserve"> their </w:t>
      </w:r>
      <w:r w:rsidR="0093785B">
        <w:t>syntax and word choice</w:t>
      </w:r>
      <w:r w:rsidR="0093785B" w:rsidRPr="0093785B">
        <w:t>.</w:t>
      </w:r>
      <w:r w:rsidR="0093785B">
        <w:t xml:space="preserve"> </w:t>
      </w:r>
      <w:r w:rsidR="00D47EF0">
        <w:t>Additionally, this raises student</w:t>
      </w:r>
      <w:r w:rsidR="00713D6F" w:rsidRPr="00713D6F">
        <w:t xml:space="preserve"> awareness of excellent sentences written by others, </w:t>
      </w:r>
      <w:r w:rsidR="00447D6D">
        <w:t xml:space="preserve">and </w:t>
      </w:r>
      <w:r w:rsidR="00D47EF0">
        <w:t>with some instruction they may learn to copy and adapt</w:t>
      </w:r>
      <w:r w:rsidR="00713D6F" w:rsidRPr="00713D6F">
        <w:t xml:space="preserve"> the</w:t>
      </w:r>
      <w:r w:rsidR="00447D6D">
        <w:t>se</w:t>
      </w:r>
      <w:r w:rsidR="00713D6F" w:rsidRPr="00713D6F">
        <w:t xml:space="preserve"> sophisticated structures. </w:t>
      </w:r>
    </w:p>
    <w:p w:rsidR="003277F6" w:rsidRDefault="00713D6F">
      <w:r w:rsidRPr="008656DA">
        <w:rPr>
          <w:b/>
        </w:rPr>
        <w:t>The Sentence Starter</w:t>
      </w:r>
      <w:r w:rsidRPr="008656DA">
        <w:t xml:space="preserve"> </w:t>
      </w:r>
      <w:r w:rsidRPr="00713D6F">
        <w:t xml:space="preserve">provides students with specific words or phrases to, well, start their sentences. </w:t>
      </w:r>
    </w:p>
    <w:p w:rsidR="00713D6F" w:rsidRDefault="00713D6F" w:rsidP="00713D6F">
      <w:r w:rsidRPr="00713D6F">
        <w:rPr>
          <w:b/>
          <w:color w:val="E36C0A" w:themeColor="accent6" w:themeShade="BF"/>
        </w:rPr>
        <w:t>Sample Sentence Starters.</w:t>
      </w:r>
      <w:r w:rsidRPr="00713D6F">
        <w:rPr>
          <w:color w:val="E36C0A" w:themeColor="accent6" w:themeShade="BF"/>
        </w:rPr>
        <w:t xml:space="preserve"> </w:t>
      </w:r>
      <w:r>
        <w:t>You can arm your students with an arsenal of rigorous writing tools by introducing multiple syntactical structures over time. For example:</w:t>
      </w:r>
    </w:p>
    <w:p w:rsidR="00713D6F" w:rsidRDefault="00713D6F" w:rsidP="008656DA">
      <w:pPr>
        <w:pStyle w:val="ListParagraph"/>
        <w:numPr>
          <w:ilvl w:val="0"/>
          <w:numId w:val="1"/>
        </w:numPr>
        <w:spacing w:after="0" w:line="240" w:lineRule="auto"/>
      </w:pPr>
      <w:r>
        <w:t>Describe the sett</w:t>
      </w:r>
      <w:r w:rsidR="008656DA">
        <w:t>ings of the first two pages of C</w:t>
      </w:r>
      <w:r>
        <w:t>hapter 2. Start your sentence with “Babbitt juxtaposes…”</w:t>
      </w:r>
    </w:p>
    <w:p w:rsidR="008656DA" w:rsidRDefault="008656DA" w:rsidP="008656DA">
      <w:pPr>
        <w:spacing w:after="0" w:line="240" w:lineRule="auto"/>
      </w:pPr>
    </w:p>
    <w:p w:rsidR="00713D6F" w:rsidRDefault="00713D6F" w:rsidP="008656D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 one sentence, explain how Ramona's actions affected her sister. </w:t>
      </w:r>
      <w:r w:rsidR="00CD3DD4">
        <w:t>Start</w:t>
      </w:r>
      <w:r>
        <w:t xml:space="preserve"> with, “After Ramona…”</w:t>
      </w:r>
    </w:p>
    <w:p w:rsidR="008656DA" w:rsidRDefault="008656DA" w:rsidP="008656DA">
      <w:pPr>
        <w:spacing w:after="0" w:line="240" w:lineRule="auto"/>
      </w:pPr>
    </w:p>
    <w:p w:rsidR="00713D6F" w:rsidRDefault="00713D6F" w:rsidP="008656D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Explain Fern's and Mr. </w:t>
      </w:r>
      <w:proofErr w:type="spellStart"/>
      <w:r>
        <w:t>Arable's</w:t>
      </w:r>
      <w:proofErr w:type="spellEnd"/>
      <w:r>
        <w:t xml:space="preserve"> differing viewpoints on how to treat the runt of the litter. Start your sentence with, “While Fern believes…”</w:t>
      </w:r>
    </w:p>
    <w:p w:rsidR="008656DA" w:rsidRDefault="008656DA" w:rsidP="008656DA">
      <w:pPr>
        <w:spacing w:after="0" w:line="240" w:lineRule="auto"/>
      </w:pPr>
    </w:p>
    <w:p w:rsidR="00713D6F" w:rsidRDefault="00713D6F" w:rsidP="008656DA">
      <w:pPr>
        <w:pStyle w:val="ListParagraph"/>
        <w:numPr>
          <w:ilvl w:val="0"/>
          <w:numId w:val="1"/>
        </w:numPr>
        <w:spacing w:after="0" w:line="240" w:lineRule="auto"/>
      </w:pPr>
      <w:r>
        <w:t>Describe the opening to Kurt Vonnegut's “Harrison Bergeron.” Start your sentence with “In Vonnegut's satiric portrayal…”</w:t>
      </w:r>
    </w:p>
    <w:p w:rsidR="00103DF7" w:rsidRDefault="00103DF7" w:rsidP="00103DF7"/>
    <w:p w:rsidR="00103DF7" w:rsidRPr="00447D6D" w:rsidRDefault="00103DF7" w:rsidP="00447D6D">
      <w:pPr>
        <w:rPr>
          <w:rFonts w:ascii="Calibri" w:eastAsia="Calibri" w:hAnsi="Calibri" w:cs="Times New Roman"/>
          <w:b/>
          <w:bCs/>
          <w:color w:val="E36C0A" w:themeColor="accent6" w:themeShade="BF"/>
          <w:sz w:val="24"/>
          <w:szCs w:val="24"/>
        </w:rPr>
      </w:pPr>
      <w:r w:rsidRPr="00103DF7">
        <w:rPr>
          <w:b/>
          <w:color w:val="E36C0A" w:themeColor="accent6" w:themeShade="BF"/>
        </w:rPr>
        <w:t xml:space="preserve">Be Strategic. </w:t>
      </w:r>
      <w:r w:rsidRPr="00103DF7">
        <w:rPr>
          <w:rFonts w:ascii="Calibri" w:eastAsia="Calibri" w:hAnsi="Calibri" w:cs="Times New Roman"/>
          <w:b/>
          <w:bCs/>
          <w:color w:val="E36C0A" w:themeColor="accent6" w:themeShade="BF"/>
          <w:sz w:val="24"/>
          <w:szCs w:val="24"/>
        </w:rPr>
        <w:t xml:space="preserve"> </w:t>
      </w:r>
      <w:r w:rsidRPr="00103DF7">
        <w:rPr>
          <w:rFonts w:ascii="Calibri" w:eastAsia="Calibri" w:hAnsi="Calibri" w:cs="Times New Roman"/>
        </w:rPr>
        <w:t>Here are some habits of thinking that you m</w:t>
      </w:r>
      <w:r w:rsidR="007B51C6">
        <w:rPr>
          <w:rFonts w:ascii="Calibri" w:eastAsia="Calibri" w:hAnsi="Calibri" w:cs="Times New Roman"/>
        </w:rPr>
        <w:t>ay</w:t>
      </w:r>
      <w:r w:rsidRPr="00103DF7">
        <w:rPr>
          <w:rFonts w:ascii="Calibri" w:eastAsia="Calibri" w:hAnsi="Calibri" w:cs="Times New Roman"/>
        </w:rPr>
        <w:t xml:space="preserve"> want to encourage students to do more of in your literacy class: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5238"/>
      </w:tblGrid>
      <w:tr w:rsidR="00103DF7" w:rsidRPr="00103DF7" w:rsidTr="00103DF7"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7" w:rsidRPr="00103DF7" w:rsidRDefault="00103DF7" w:rsidP="00103DF7">
            <w:pPr>
              <w:numPr>
                <w:ilvl w:val="0"/>
                <w:numId w:val="6"/>
              </w:numPr>
              <w:spacing w:after="0" w:line="240" w:lineRule="auto"/>
              <w:rPr>
                <w:rFonts w:ascii="Franklin Gothic Book" w:eastAsia="Calibri" w:hAnsi="Franklin Gothic Book" w:cs="Times New Roman"/>
                <w:sz w:val="24"/>
                <w:szCs w:val="24"/>
              </w:rPr>
            </w:pPr>
            <w:r w:rsidRPr="00103DF7">
              <w:rPr>
                <w:rFonts w:ascii="Calibri" w:eastAsia="Calibri" w:hAnsi="Calibri" w:cs="Times New Roman"/>
                <w:sz w:val="24"/>
                <w:szCs w:val="24"/>
              </w:rPr>
              <w:t>Referring to evidence</w:t>
            </w:r>
          </w:p>
          <w:p w:rsidR="00103DF7" w:rsidRPr="00103DF7" w:rsidRDefault="00103DF7" w:rsidP="00103DF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3DF7">
              <w:rPr>
                <w:rFonts w:ascii="Calibri" w:eastAsia="Calibri" w:hAnsi="Calibri" w:cs="Times New Roman"/>
                <w:sz w:val="24"/>
                <w:szCs w:val="24"/>
              </w:rPr>
              <w:t>Synthesizing evidence</w:t>
            </w:r>
          </w:p>
        </w:tc>
        <w:tc>
          <w:tcPr>
            <w:tcW w:w="5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F7" w:rsidRPr="00103DF7" w:rsidRDefault="00103DF7" w:rsidP="00103DF7">
            <w:pPr>
              <w:numPr>
                <w:ilvl w:val="0"/>
                <w:numId w:val="7"/>
              </w:numPr>
              <w:spacing w:after="0" w:line="240" w:lineRule="auto"/>
              <w:rPr>
                <w:rFonts w:ascii="Franklin Gothic Book" w:eastAsia="Calibri" w:hAnsi="Franklin Gothic Book" w:cs="Times New Roman"/>
                <w:sz w:val="24"/>
                <w:szCs w:val="24"/>
              </w:rPr>
            </w:pPr>
            <w:r w:rsidRPr="00103DF7">
              <w:rPr>
                <w:rFonts w:ascii="Calibri" w:eastAsia="Calibri" w:hAnsi="Calibri" w:cs="Times New Roman"/>
                <w:sz w:val="24"/>
                <w:szCs w:val="24"/>
              </w:rPr>
              <w:t>Summarizing ideas</w:t>
            </w:r>
          </w:p>
          <w:p w:rsidR="00103DF7" w:rsidRPr="00103DF7" w:rsidRDefault="00103DF7" w:rsidP="00103DF7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3DF7">
              <w:rPr>
                <w:rFonts w:ascii="Calibri" w:eastAsia="Calibri" w:hAnsi="Calibri" w:cs="Times New Roman"/>
                <w:sz w:val="24"/>
                <w:szCs w:val="24"/>
              </w:rPr>
              <w:t>Revising initial thinking</w:t>
            </w:r>
          </w:p>
          <w:p w:rsidR="00103DF7" w:rsidRPr="00103DF7" w:rsidRDefault="00103DF7" w:rsidP="00103DF7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3DF7">
              <w:rPr>
                <w:rFonts w:ascii="Calibri" w:eastAsia="Calibri" w:hAnsi="Calibri" w:cs="Times New Roman"/>
                <w:sz w:val="24"/>
                <w:szCs w:val="24"/>
              </w:rPr>
              <w:t>Supporting or refuting an argument</w:t>
            </w:r>
          </w:p>
          <w:p w:rsidR="00103DF7" w:rsidRPr="00103DF7" w:rsidRDefault="00103DF7" w:rsidP="00103DF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03DF7" w:rsidRPr="00103DF7" w:rsidRDefault="00103DF7" w:rsidP="00103DF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03DF7" w:rsidRPr="00103DF7" w:rsidRDefault="007F6DD4" w:rsidP="00103DF7">
      <w:pPr>
        <w:spacing w:after="0" w:line="240" w:lineRule="auto"/>
        <w:rPr>
          <w:rFonts w:ascii="Franklin Gothic Book" w:eastAsia="Calibri" w:hAnsi="Franklin Gothic Book" w:cs="Times New Roman"/>
        </w:rPr>
      </w:pPr>
      <w:r w:rsidRPr="00447D6D">
        <w:rPr>
          <w:rFonts w:ascii="Calibri" w:eastAsia="Calibri" w:hAnsi="Calibri" w:cs="Times New Roman"/>
          <w:b/>
          <w:color w:val="E36C0A"/>
        </w:rPr>
        <w:t xml:space="preserve">Brainstorm </w:t>
      </w:r>
      <w:r w:rsidR="00103DF7" w:rsidRPr="00447D6D">
        <w:rPr>
          <w:rFonts w:ascii="Calibri" w:eastAsia="Calibri" w:hAnsi="Calibri" w:cs="Times New Roman"/>
          <w:b/>
          <w:color w:val="E36C0A"/>
        </w:rPr>
        <w:t>Sentence Starters</w:t>
      </w:r>
      <w:r w:rsidR="00103DF7" w:rsidRPr="00447D6D">
        <w:rPr>
          <w:rFonts w:ascii="Calibri" w:eastAsia="Calibri" w:hAnsi="Calibri" w:cs="Times New Roman"/>
          <w:color w:val="FF0000"/>
        </w:rPr>
        <w:t xml:space="preserve"> </w:t>
      </w:r>
      <w:r>
        <w:rPr>
          <w:rFonts w:ascii="Calibri" w:eastAsia="Calibri" w:hAnsi="Calibri" w:cs="Times New Roman"/>
        </w:rPr>
        <w:t>that</w:t>
      </w:r>
      <w:r w:rsidR="00103DF7" w:rsidRPr="00103DF7">
        <w:rPr>
          <w:rFonts w:ascii="Calibri" w:eastAsia="Calibri" w:hAnsi="Calibri" w:cs="Times New Roman"/>
        </w:rPr>
        <w:t xml:space="preserve"> support students to do the type of thinking you</w:t>
      </w:r>
      <w:r>
        <w:rPr>
          <w:rFonts w:ascii="Calibri" w:eastAsia="Calibri" w:hAnsi="Calibri" w:cs="Times New Roman"/>
        </w:rPr>
        <w:t>’ve</w:t>
      </w:r>
      <w:r w:rsidR="00103DF7" w:rsidRPr="00103DF7">
        <w:rPr>
          <w:rFonts w:ascii="Calibri" w:eastAsia="Calibri" w:hAnsi="Calibri" w:cs="Times New Roman"/>
        </w:rPr>
        <w:t xml:space="preserve"> identified above. W</w:t>
      </w:r>
      <w:r>
        <w:rPr>
          <w:rFonts w:ascii="Calibri" w:eastAsia="Calibri" w:hAnsi="Calibri" w:cs="Times New Roman"/>
        </w:rPr>
        <w:t xml:space="preserve">e’ve given some examples </w:t>
      </w:r>
      <w:r w:rsidR="00447D6D">
        <w:rPr>
          <w:rFonts w:ascii="Calibri" w:eastAsia="Calibri" w:hAnsi="Calibri" w:cs="Times New Roman"/>
        </w:rPr>
        <w:t>on the next page</w:t>
      </w:r>
      <w:r>
        <w:rPr>
          <w:rFonts w:ascii="Calibri" w:eastAsia="Calibri" w:hAnsi="Calibri" w:cs="Times New Roman"/>
        </w:rPr>
        <w:t xml:space="preserve">. </w:t>
      </w:r>
    </w:p>
    <w:p w:rsidR="00447D6D" w:rsidRDefault="00447D6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p w:rsidR="00103DF7" w:rsidRDefault="00103DF7" w:rsidP="00103DF7">
      <w:pPr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7F6DD4" w:rsidRPr="00103DF7" w:rsidRDefault="007F6DD4" w:rsidP="00103DF7">
      <w:pPr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</w:tblGrid>
      <w:tr w:rsidR="00103DF7" w:rsidRPr="00103DF7" w:rsidTr="007F6DD4">
        <w:trPr>
          <w:trHeight w:val="456"/>
          <w:jc w:val="center"/>
        </w:trPr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7" w:rsidRPr="00103DF7" w:rsidRDefault="007F6DD4" w:rsidP="00103D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</w:pPr>
            <w:r w:rsidRPr="007F6DD4">
              <w:rPr>
                <w:rFonts w:ascii="Calibri" w:eastAsia="Calibri" w:hAnsi="Calibri" w:cs="Times New Roman"/>
                <w:b/>
                <w:bCs/>
                <w:color w:val="FFFFFF" w:themeColor="background1"/>
                <w:sz w:val="36"/>
                <w:szCs w:val="36"/>
              </w:rPr>
              <w:t>SAMPLE SENTENCE STARTERS</w:t>
            </w:r>
          </w:p>
        </w:tc>
      </w:tr>
      <w:tr w:rsidR="00103DF7" w:rsidRPr="00103DF7" w:rsidTr="007F6DD4">
        <w:trPr>
          <w:trHeight w:val="3476"/>
          <w:jc w:val="center"/>
        </w:trPr>
        <w:tc>
          <w:tcPr>
            <w:tcW w:w="5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D4" w:rsidRPr="007F6DD4" w:rsidRDefault="007F6DD4" w:rsidP="007F6DD4">
            <w:pPr>
              <w:spacing w:after="0"/>
              <w:rPr>
                <w:rFonts w:ascii="Franklin Gothic Book" w:eastAsia="Calibri" w:hAnsi="Franklin Gothic Book" w:cs="Times New Roman"/>
                <w:sz w:val="20"/>
                <w:szCs w:val="20"/>
              </w:rPr>
            </w:pPr>
          </w:p>
          <w:p w:rsidR="00103DF7" w:rsidRPr="00103DF7" w:rsidRDefault="00103DF7" w:rsidP="007F6DD4">
            <w:pPr>
              <w:spacing w:after="0"/>
              <w:rPr>
                <w:rFonts w:ascii="Franklin Gothic Book" w:eastAsia="Calibri" w:hAnsi="Franklin Gothic Book" w:cs="Times New Roman"/>
                <w:sz w:val="36"/>
                <w:szCs w:val="36"/>
              </w:rPr>
            </w:pPr>
            <w:r w:rsidRPr="00103DF7">
              <w:rPr>
                <w:rFonts w:ascii="Franklin Gothic Book" w:eastAsia="Calibri" w:hAnsi="Franklin Gothic Book" w:cs="Times New Roman"/>
                <w:sz w:val="36"/>
                <w:szCs w:val="36"/>
              </w:rPr>
              <w:t>In light of all the evidence…</w:t>
            </w:r>
          </w:p>
          <w:p w:rsidR="00103DF7" w:rsidRPr="00103DF7" w:rsidRDefault="00103DF7" w:rsidP="007F6DD4">
            <w:pPr>
              <w:spacing w:after="0"/>
              <w:rPr>
                <w:rFonts w:ascii="Franklin Gothic Book" w:eastAsia="Calibri" w:hAnsi="Franklin Gothic Book" w:cs="Times New Roman"/>
                <w:sz w:val="36"/>
                <w:szCs w:val="36"/>
              </w:rPr>
            </w:pPr>
            <w:r w:rsidRPr="00103DF7">
              <w:rPr>
                <w:rFonts w:ascii="Franklin Gothic Book" w:eastAsia="Calibri" w:hAnsi="Franklin Gothic Book" w:cs="Times New Roman"/>
                <w:sz w:val="36"/>
                <w:szCs w:val="36"/>
              </w:rPr>
              <w:t>After considering the options…</w:t>
            </w:r>
          </w:p>
          <w:p w:rsidR="00103DF7" w:rsidRPr="00103DF7" w:rsidRDefault="00103DF7" w:rsidP="007F6DD4">
            <w:pPr>
              <w:spacing w:after="0"/>
              <w:rPr>
                <w:rFonts w:ascii="Franklin Gothic Book" w:eastAsia="Calibri" w:hAnsi="Franklin Gothic Book" w:cs="Times New Roman"/>
                <w:sz w:val="36"/>
                <w:szCs w:val="36"/>
              </w:rPr>
            </w:pPr>
            <w:r w:rsidRPr="00103DF7">
              <w:rPr>
                <w:rFonts w:ascii="Franklin Gothic Book" w:eastAsia="Calibri" w:hAnsi="Franklin Gothic Book" w:cs="Times New Roman"/>
                <w:sz w:val="36"/>
                <w:szCs w:val="36"/>
              </w:rPr>
              <w:t>Upon further reflection…</w:t>
            </w:r>
          </w:p>
          <w:p w:rsidR="00103DF7" w:rsidRPr="00103DF7" w:rsidRDefault="00103DF7" w:rsidP="007F6DD4">
            <w:pPr>
              <w:spacing w:after="0"/>
              <w:rPr>
                <w:rFonts w:ascii="Franklin Gothic Book" w:eastAsia="Calibri" w:hAnsi="Franklin Gothic Book" w:cs="Times New Roman"/>
                <w:sz w:val="36"/>
                <w:szCs w:val="36"/>
              </w:rPr>
            </w:pPr>
            <w:r w:rsidRPr="00103DF7">
              <w:rPr>
                <w:rFonts w:ascii="Franklin Gothic Book" w:eastAsia="Calibri" w:hAnsi="Franklin Gothic Book" w:cs="Times New Roman"/>
                <w:sz w:val="36"/>
                <w:szCs w:val="36"/>
              </w:rPr>
              <w:t>In contrast to…</w:t>
            </w:r>
          </w:p>
          <w:p w:rsidR="00103DF7" w:rsidRPr="00103DF7" w:rsidRDefault="00103DF7" w:rsidP="007F6DD4">
            <w:pPr>
              <w:spacing w:after="0"/>
              <w:rPr>
                <w:rFonts w:ascii="Franklin Gothic Book" w:eastAsia="Calibri" w:hAnsi="Franklin Gothic Book" w:cs="Times New Roman"/>
                <w:sz w:val="36"/>
                <w:szCs w:val="36"/>
              </w:rPr>
            </w:pPr>
            <w:r w:rsidRPr="00103DF7">
              <w:rPr>
                <w:rFonts w:ascii="Franklin Gothic Book" w:eastAsia="Calibri" w:hAnsi="Franklin Gothic Book" w:cs="Times New Roman"/>
                <w:sz w:val="36"/>
                <w:szCs w:val="36"/>
              </w:rPr>
              <w:t>Whereas…</w:t>
            </w:r>
          </w:p>
          <w:p w:rsidR="00103DF7" w:rsidRPr="00103DF7" w:rsidRDefault="00103DF7" w:rsidP="007F6DD4">
            <w:pPr>
              <w:spacing w:after="0"/>
              <w:rPr>
                <w:rFonts w:ascii="Franklin Gothic Book" w:eastAsia="Calibri" w:hAnsi="Franklin Gothic Book" w:cs="Times New Roman"/>
                <w:sz w:val="36"/>
                <w:szCs w:val="36"/>
              </w:rPr>
            </w:pPr>
            <w:r w:rsidRPr="00103DF7">
              <w:rPr>
                <w:rFonts w:ascii="Franklin Gothic Book" w:eastAsia="Calibri" w:hAnsi="Franklin Gothic Book" w:cs="Times New Roman"/>
                <w:sz w:val="36"/>
                <w:szCs w:val="36"/>
              </w:rPr>
              <w:t>Similarly…</w:t>
            </w:r>
          </w:p>
          <w:p w:rsidR="00103DF7" w:rsidRDefault="00103DF7" w:rsidP="007F6DD4">
            <w:pPr>
              <w:spacing w:after="0"/>
              <w:rPr>
                <w:rFonts w:ascii="Franklin Gothic Book" w:eastAsia="Calibri" w:hAnsi="Franklin Gothic Book" w:cs="Times New Roman"/>
                <w:sz w:val="36"/>
                <w:szCs w:val="36"/>
              </w:rPr>
            </w:pPr>
            <w:r w:rsidRPr="00103DF7">
              <w:rPr>
                <w:rFonts w:ascii="Franklin Gothic Book" w:eastAsia="Calibri" w:hAnsi="Franklin Gothic Book" w:cs="Times New Roman"/>
                <w:sz w:val="36"/>
                <w:szCs w:val="36"/>
              </w:rPr>
              <w:t>To illustrate…</w:t>
            </w:r>
          </w:p>
          <w:p w:rsidR="00103DF7" w:rsidRPr="00103DF7" w:rsidRDefault="00103DF7" w:rsidP="007F6DD4">
            <w:pPr>
              <w:spacing w:after="0"/>
              <w:rPr>
                <w:rFonts w:ascii="Franklin Gothic Book" w:eastAsia="Calibri" w:hAnsi="Franklin Gothic Book" w:cs="Times New Roman"/>
              </w:rPr>
            </w:pPr>
          </w:p>
        </w:tc>
      </w:tr>
    </w:tbl>
    <w:p w:rsidR="00103DF7" w:rsidRPr="00103DF7" w:rsidRDefault="00103DF7" w:rsidP="00103DF7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03DF7" w:rsidRDefault="00103DF7" w:rsidP="00103DF7">
      <w:pPr>
        <w:spacing w:after="0" w:line="240" w:lineRule="auto"/>
      </w:pPr>
    </w:p>
    <w:p w:rsidR="008656DA" w:rsidRDefault="008656DA" w:rsidP="008656DA">
      <w:pPr>
        <w:spacing w:after="0" w:line="240" w:lineRule="auto"/>
      </w:pPr>
    </w:p>
    <w:p w:rsidR="008D520D" w:rsidRPr="006A0A86" w:rsidRDefault="006A0A86" w:rsidP="002F45B9">
      <w:proofErr w:type="gramStart"/>
      <w:r>
        <w:rPr>
          <w:b/>
          <w:color w:val="E36C0A" w:themeColor="accent6" w:themeShade="BF"/>
        </w:rPr>
        <w:t>For more on the topic.</w:t>
      </w:r>
      <w:proofErr w:type="gramEnd"/>
      <w:r>
        <w:rPr>
          <w:b/>
          <w:color w:val="E36C0A" w:themeColor="accent6" w:themeShade="BF"/>
        </w:rPr>
        <w:t xml:space="preserve"> </w:t>
      </w:r>
      <w:r>
        <w:t>Please see</w:t>
      </w:r>
      <w:r w:rsidRPr="006A0A86">
        <w:t xml:space="preserve"> </w:t>
      </w:r>
      <w:r w:rsidRPr="006A0A86">
        <w:rPr>
          <w:b/>
        </w:rPr>
        <w:t>Chapter 4: Writing for Reading</w:t>
      </w:r>
      <w:r w:rsidRPr="006A0A86">
        <w:t xml:space="preserve"> in </w:t>
      </w:r>
      <w:r w:rsidRPr="006A0A86">
        <w:rPr>
          <w:i/>
        </w:rPr>
        <w:t>Reading Reconsidered</w:t>
      </w:r>
      <w:r w:rsidRPr="006A0A86">
        <w:t xml:space="preserve"> by Doug Lemov, Colleen Driggs, and Erica Woolway. The Art of the Sentence (AOS) technique is also highlighted in </w:t>
      </w:r>
      <w:r w:rsidRPr="006A0A86">
        <w:rPr>
          <w:i/>
        </w:rPr>
        <w:t xml:space="preserve">Teach </w:t>
      </w:r>
      <w:proofErr w:type="gramStart"/>
      <w:r w:rsidRPr="006A0A86">
        <w:rPr>
          <w:i/>
        </w:rPr>
        <w:t>Like</w:t>
      </w:r>
      <w:proofErr w:type="gramEnd"/>
      <w:r w:rsidRPr="006A0A86">
        <w:rPr>
          <w:i/>
        </w:rPr>
        <w:t xml:space="preserve"> a Champion 2.0</w:t>
      </w:r>
      <w:r w:rsidRPr="006A0A86">
        <w:t xml:space="preserve">. </w:t>
      </w:r>
      <w:r>
        <w:t>You can also find out more</w:t>
      </w:r>
      <w:r w:rsidRPr="006A0A86">
        <w:t xml:space="preserve"> at teachlikeachampion.com.</w:t>
      </w:r>
      <w:r>
        <w:t xml:space="preserve"> Please note that there are two other sentence prompts, </w:t>
      </w:r>
      <w:r w:rsidRPr="00447D6D">
        <w:rPr>
          <w:b/>
        </w:rPr>
        <w:t>Sentence Pa</w:t>
      </w:r>
      <w:r w:rsidR="00447D6D" w:rsidRPr="00447D6D">
        <w:rPr>
          <w:b/>
        </w:rPr>
        <w:t>rameter</w:t>
      </w:r>
      <w:r w:rsidR="00447D6D">
        <w:t xml:space="preserve"> and </w:t>
      </w:r>
      <w:proofErr w:type="spellStart"/>
      <w:r w:rsidR="00447D6D" w:rsidRPr="00447D6D">
        <w:rPr>
          <w:b/>
        </w:rPr>
        <w:t>Nondenominationals</w:t>
      </w:r>
      <w:proofErr w:type="spellEnd"/>
      <w:r w:rsidR="00447D6D">
        <w:t xml:space="preserve">. We’ll have Grab and Go’s available for both of those prompts these next two months, so please be sure to </w:t>
      </w:r>
      <w:hyperlink r:id="rId8" w:history="1">
        <w:r w:rsidR="00447D6D" w:rsidRPr="00447D6D">
          <w:rPr>
            <w:rStyle w:val="Hyperlink"/>
          </w:rPr>
          <w:t>check back on the site</w:t>
        </w:r>
      </w:hyperlink>
      <w:r w:rsidR="00447D6D">
        <w:t xml:space="preserve">. </w:t>
      </w:r>
    </w:p>
    <w:sectPr w:rsidR="008D520D" w:rsidRPr="006A0A86" w:rsidSect="00103DF7">
      <w:footerReference w:type="default" r:id="rId9"/>
      <w:pgSz w:w="12240" w:h="15840"/>
      <w:pgMar w:top="1260" w:right="810" w:bottom="1440" w:left="108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49" w:rsidRDefault="00CE6449" w:rsidP="00713D6F">
      <w:pPr>
        <w:spacing w:after="0" w:line="240" w:lineRule="auto"/>
      </w:pPr>
      <w:r>
        <w:separator/>
      </w:r>
    </w:p>
  </w:endnote>
  <w:endnote w:type="continuationSeparator" w:id="0">
    <w:p w:rsidR="00CE6449" w:rsidRDefault="00CE6449" w:rsidP="0071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D3" w:rsidRDefault="00F776D3">
    <w:pPr>
      <w:pStyle w:val="Footer"/>
    </w:pPr>
    <w:r w:rsidRPr="00F776D3">
      <w:rPr>
        <w:sz w:val="20"/>
        <w:szCs w:val="20"/>
      </w:rPr>
      <w:t xml:space="preserve">Please include copyright line in any distribution: </w:t>
    </w:r>
    <w:r w:rsidRPr="00634261">
      <w:rPr>
        <w:i/>
        <w:sz w:val="20"/>
        <w:szCs w:val="20"/>
      </w:rPr>
      <w:t>Reading Reconsidered</w:t>
    </w:r>
    <w:r w:rsidRPr="00F776D3">
      <w:rPr>
        <w:sz w:val="20"/>
        <w:szCs w:val="20"/>
      </w:rPr>
      <w:t xml:space="preserve">, © 2016 by Doug Lemov &amp; Uncommon Schools; published by </w:t>
    </w:r>
    <w:proofErr w:type="spellStart"/>
    <w:r w:rsidRPr="00F776D3">
      <w:rPr>
        <w:sz w:val="20"/>
        <w:szCs w:val="20"/>
      </w:rPr>
      <w:t>Jossey</w:t>
    </w:r>
    <w:proofErr w:type="spellEnd"/>
    <w:r w:rsidRPr="00F776D3">
      <w:rPr>
        <w:sz w:val="20"/>
        <w:szCs w:val="20"/>
      </w:rPr>
      <w:t>-Bass, a Wiley brand.</w:t>
    </w:r>
  </w:p>
  <w:p w:rsidR="00713D6F" w:rsidRDefault="00713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49" w:rsidRDefault="00CE6449" w:rsidP="00713D6F">
      <w:pPr>
        <w:spacing w:after="0" w:line="240" w:lineRule="auto"/>
      </w:pPr>
      <w:r>
        <w:separator/>
      </w:r>
    </w:p>
  </w:footnote>
  <w:footnote w:type="continuationSeparator" w:id="0">
    <w:p w:rsidR="00CE6449" w:rsidRDefault="00CE6449" w:rsidP="0071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8E7"/>
    <w:multiLevelType w:val="hybridMultilevel"/>
    <w:tmpl w:val="CD2A7842"/>
    <w:lvl w:ilvl="0" w:tplc="00BED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112F1"/>
    <w:multiLevelType w:val="hybridMultilevel"/>
    <w:tmpl w:val="01EAC9BE"/>
    <w:lvl w:ilvl="0" w:tplc="02946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D1FFC"/>
    <w:multiLevelType w:val="hybridMultilevel"/>
    <w:tmpl w:val="5FD6260E"/>
    <w:lvl w:ilvl="0" w:tplc="02946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C4D4F"/>
    <w:multiLevelType w:val="hybridMultilevel"/>
    <w:tmpl w:val="47527214"/>
    <w:lvl w:ilvl="0" w:tplc="02946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669EC"/>
    <w:multiLevelType w:val="hybridMultilevel"/>
    <w:tmpl w:val="48569F46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27E24A0"/>
    <w:multiLevelType w:val="hybridMultilevel"/>
    <w:tmpl w:val="BA329F50"/>
    <w:lvl w:ilvl="0" w:tplc="63B82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A2F37"/>
    <w:multiLevelType w:val="hybridMultilevel"/>
    <w:tmpl w:val="40D20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6F"/>
    <w:rsid w:val="000A28C3"/>
    <w:rsid w:val="00103DF7"/>
    <w:rsid w:val="002F45B9"/>
    <w:rsid w:val="003277F6"/>
    <w:rsid w:val="003B2262"/>
    <w:rsid w:val="00447D6D"/>
    <w:rsid w:val="005D36A5"/>
    <w:rsid w:val="00634261"/>
    <w:rsid w:val="006A0A86"/>
    <w:rsid w:val="00713D6F"/>
    <w:rsid w:val="007B51C6"/>
    <w:rsid w:val="007F6DD4"/>
    <w:rsid w:val="008656DA"/>
    <w:rsid w:val="0088573C"/>
    <w:rsid w:val="008D520D"/>
    <w:rsid w:val="0093785B"/>
    <w:rsid w:val="009C657F"/>
    <w:rsid w:val="00B03680"/>
    <w:rsid w:val="00B74928"/>
    <w:rsid w:val="00BC583D"/>
    <w:rsid w:val="00C120DC"/>
    <w:rsid w:val="00CD3DD4"/>
    <w:rsid w:val="00CE6449"/>
    <w:rsid w:val="00CF23A3"/>
    <w:rsid w:val="00CF5CDE"/>
    <w:rsid w:val="00D40F41"/>
    <w:rsid w:val="00D47EF0"/>
    <w:rsid w:val="00E33D9F"/>
    <w:rsid w:val="00E4225D"/>
    <w:rsid w:val="00F7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D6F"/>
  </w:style>
  <w:style w:type="paragraph" w:styleId="Footer">
    <w:name w:val="footer"/>
    <w:basedOn w:val="Normal"/>
    <w:link w:val="FooterChar"/>
    <w:uiPriority w:val="99"/>
    <w:unhideWhenUsed/>
    <w:rsid w:val="0071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D6F"/>
  </w:style>
  <w:style w:type="paragraph" w:styleId="ListParagraph">
    <w:name w:val="List Paragraph"/>
    <w:basedOn w:val="Normal"/>
    <w:uiPriority w:val="34"/>
    <w:qFormat/>
    <w:rsid w:val="00865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D6F"/>
  </w:style>
  <w:style w:type="paragraph" w:styleId="Footer">
    <w:name w:val="footer"/>
    <w:basedOn w:val="Normal"/>
    <w:link w:val="FooterChar"/>
    <w:uiPriority w:val="99"/>
    <w:unhideWhenUsed/>
    <w:rsid w:val="0071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D6F"/>
  </w:style>
  <w:style w:type="paragraph" w:styleId="ListParagraph">
    <w:name w:val="List Paragraph"/>
    <w:basedOn w:val="Normal"/>
    <w:uiPriority w:val="34"/>
    <w:qFormat/>
    <w:rsid w:val="00865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likeachampion.com/resources/grab-and-g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Gagnon, Kate - San Francisco</dc:creator>
  <cp:lastModifiedBy>Levy, Hannah - San Francisco</cp:lastModifiedBy>
  <cp:revision>2</cp:revision>
  <dcterms:created xsi:type="dcterms:W3CDTF">2016-03-31T16:46:00Z</dcterms:created>
  <dcterms:modified xsi:type="dcterms:W3CDTF">2016-03-31T16:46:00Z</dcterms:modified>
</cp:coreProperties>
</file>